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E3" w:rsidRDefault="005D79E3">
      <w:pPr>
        <w:pStyle w:val="Textoindependiente"/>
        <w:rPr>
          <w:rFonts w:ascii="Times New Roman"/>
          <w:b w:val="0"/>
          <w:i w:val="0"/>
          <w:sz w:val="20"/>
        </w:rPr>
      </w:pPr>
    </w:p>
    <w:p w:rsidR="005D79E3" w:rsidRDefault="005D79E3">
      <w:pPr>
        <w:pStyle w:val="Textoindependiente"/>
        <w:spacing w:before="6"/>
        <w:rPr>
          <w:rFonts w:ascii="Times New Roman"/>
          <w:b w:val="0"/>
          <w:i w:val="0"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915"/>
        <w:gridCol w:w="743"/>
        <w:gridCol w:w="1258"/>
        <w:gridCol w:w="801"/>
        <w:gridCol w:w="1532"/>
        <w:gridCol w:w="705"/>
        <w:gridCol w:w="1233"/>
        <w:gridCol w:w="1160"/>
      </w:tblGrid>
      <w:tr w:rsidR="005D79E3">
        <w:trPr>
          <w:trHeight w:val="633"/>
        </w:trPr>
        <w:tc>
          <w:tcPr>
            <w:tcW w:w="1352" w:type="dxa"/>
          </w:tcPr>
          <w:p w:rsidR="005D79E3" w:rsidRDefault="007265C2">
            <w:pPr>
              <w:pStyle w:val="TableParagraph"/>
              <w:ind w:left="107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Unidad Responsable</w:t>
            </w:r>
          </w:p>
        </w:tc>
        <w:tc>
          <w:tcPr>
            <w:tcW w:w="915" w:type="dxa"/>
          </w:tcPr>
          <w:p w:rsidR="005D79E3" w:rsidRDefault="007265C2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743" w:type="dxa"/>
          </w:tcPr>
          <w:p w:rsidR="005D79E3" w:rsidRDefault="007265C2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ITS**</w:t>
            </w:r>
          </w:p>
        </w:tc>
        <w:tc>
          <w:tcPr>
            <w:tcW w:w="1258" w:type="dxa"/>
          </w:tcPr>
          <w:p w:rsidR="005D79E3" w:rsidRDefault="007265C2">
            <w:pPr>
              <w:pStyle w:val="TableParagraph"/>
              <w:ind w:left="101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Proceso Estratégico</w:t>
            </w:r>
          </w:p>
        </w:tc>
        <w:tc>
          <w:tcPr>
            <w:tcW w:w="801" w:type="dxa"/>
          </w:tcPr>
          <w:p w:rsidR="005D79E3" w:rsidRDefault="007265C2">
            <w:pPr>
              <w:pStyle w:val="TableParagraph"/>
              <w:spacing w:line="20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1532" w:type="dxa"/>
          </w:tcPr>
          <w:p w:rsidR="005D79E3" w:rsidRDefault="007265C2">
            <w:pPr>
              <w:pStyle w:val="TableParagraph"/>
              <w:ind w:left="98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Tipo de documento</w:t>
            </w:r>
          </w:p>
        </w:tc>
        <w:tc>
          <w:tcPr>
            <w:tcW w:w="705" w:type="dxa"/>
          </w:tcPr>
          <w:p w:rsidR="005D79E3" w:rsidRDefault="007265C2">
            <w:pPr>
              <w:pStyle w:val="TableParagraph"/>
              <w:spacing w:line="201" w:lineRule="exact"/>
              <w:ind w:left="86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1233" w:type="dxa"/>
          </w:tcPr>
          <w:p w:rsidR="005D79E3" w:rsidRDefault="007265C2">
            <w:pPr>
              <w:pStyle w:val="TableParagraph"/>
              <w:ind w:left="108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Consecutiv o</w:t>
            </w:r>
          </w:p>
        </w:tc>
        <w:tc>
          <w:tcPr>
            <w:tcW w:w="1160" w:type="dxa"/>
          </w:tcPr>
          <w:p w:rsidR="005D79E3" w:rsidRDefault="007265C2">
            <w:pPr>
              <w:pStyle w:val="TableParagraph"/>
              <w:ind w:left="105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Formato y/o anexo</w:t>
            </w:r>
          </w:p>
        </w:tc>
      </w:tr>
      <w:tr w:rsidR="005D79E3">
        <w:trPr>
          <w:trHeight w:val="988"/>
        </w:trPr>
        <w:tc>
          <w:tcPr>
            <w:tcW w:w="1352" w:type="dxa"/>
            <w:vMerge w:val="restart"/>
            <w:shd w:val="clear" w:color="auto" w:fill="FFFF00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10"/>
              <w:rPr>
                <w:rFonts w:ascii="Times New Roman"/>
              </w:rPr>
            </w:pPr>
          </w:p>
          <w:p w:rsidR="005D79E3" w:rsidRDefault="007265C2">
            <w:pPr>
              <w:pStyle w:val="TableParagraph"/>
              <w:spacing w:before="1"/>
              <w:ind w:left="107" w:right="1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Tecnológico </w:t>
            </w:r>
            <w:r>
              <w:rPr>
                <w:sz w:val="20"/>
              </w:rPr>
              <w:t>Nacional de México</w:t>
            </w:r>
          </w:p>
        </w:tc>
        <w:tc>
          <w:tcPr>
            <w:tcW w:w="915" w:type="dxa"/>
            <w:vMerge w:val="restart"/>
            <w:shd w:val="clear" w:color="auto" w:fill="FFFF00"/>
          </w:tcPr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  <w:sz w:val="20"/>
              </w:rPr>
            </w:pPr>
          </w:p>
          <w:p w:rsidR="005D79E3" w:rsidRDefault="005D79E3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5D79E3" w:rsidRDefault="007265C2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TecNM</w:t>
            </w:r>
          </w:p>
        </w:tc>
        <w:tc>
          <w:tcPr>
            <w:tcW w:w="743" w:type="dxa"/>
            <w:vMerge w:val="restart"/>
            <w:shd w:val="clear" w:color="auto" w:fill="FFFF00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5D79E3" w:rsidRDefault="007265C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58" w:type="dxa"/>
            <w:vMerge w:val="restart"/>
            <w:shd w:val="clear" w:color="auto" w:fill="8DB3E1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5D79E3" w:rsidRDefault="007265C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Académico</w:t>
            </w:r>
          </w:p>
          <w:p w:rsidR="005D79E3" w:rsidRDefault="005D79E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D79E3" w:rsidRDefault="007265C2">
            <w:pPr>
              <w:pStyle w:val="TableParagraph"/>
              <w:spacing w:line="690" w:lineRule="atLeas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Planeación </w:t>
            </w:r>
            <w:r>
              <w:rPr>
                <w:w w:val="95"/>
                <w:sz w:val="20"/>
              </w:rPr>
              <w:t>Vinculación</w:t>
            </w:r>
          </w:p>
        </w:tc>
        <w:tc>
          <w:tcPr>
            <w:tcW w:w="801" w:type="dxa"/>
            <w:vMerge w:val="restart"/>
            <w:shd w:val="clear" w:color="auto" w:fill="8DB3E1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5D79E3" w:rsidRDefault="007265C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AC</w:t>
            </w:r>
          </w:p>
          <w:p w:rsidR="005D79E3" w:rsidRDefault="005D79E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D79E3" w:rsidRDefault="007265C2">
            <w:pPr>
              <w:pStyle w:val="TableParagraph"/>
              <w:spacing w:line="690" w:lineRule="atLeast"/>
              <w:ind w:left="103" w:right="435"/>
              <w:rPr>
                <w:sz w:val="20"/>
              </w:rPr>
            </w:pPr>
            <w:r>
              <w:rPr>
                <w:w w:val="95"/>
                <w:sz w:val="20"/>
              </w:rPr>
              <w:t xml:space="preserve">PL </w:t>
            </w:r>
            <w:r>
              <w:rPr>
                <w:sz w:val="20"/>
              </w:rPr>
              <w:t>VI</w:t>
            </w:r>
          </w:p>
        </w:tc>
        <w:tc>
          <w:tcPr>
            <w:tcW w:w="1532" w:type="dxa"/>
            <w:shd w:val="clear" w:color="auto" w:fill="FF3399"/>
          </w:tcPr>
          <w:p w:rsidR="005D79E3" w:rsidRDefault="007265C2">
            <w:pPr>
              <w:pStyle w:val="TableParagraph"/>
              <w:ind w:left="458" w:right="310" w:hanging="135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Manual de Calidad</w:t>
            </w:r>
          </w:p>
        </w:tc>
        <w:tc>
          <w:tcPr>
            <w:tcW w:w="705" w:type="dxa"/>
            <w:shd w:val="clear" w:color="auto" w:fill="FF3399"/>
          </w:tcPr>
          <w:p w:rsidR="005D79E3" w:rsidRDefault="007265C2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MC</w:t>
            </w:r>
          </w:p>
        </w:tc>
        <w:tc>
          <w:tcPr>
            <w:tcW w:w="1233" w:type="dxa"/>
            <w:vMerge w:val="restart"/>
            <w:shd w:val="clear" w:color="auto" w:fill="D99493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10"/>
              <w:rPr>
                <w:rFonts w:ascii="Times New Roman"/>
              </w:rPr>
            </w:pPr>
          </w:p>
          <w:p w:rsidR="005D79E3" w:rsidRDefault="007265C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001 a 00n</w:t>
            </w:r>
          </w:p>
        </w:tc>
        <w:tc>
          <w:tcPr>
            <w:tcW w:w="1160" w:type="dxa"/>
            <w:vMerge w:val="restart"/>
            <w:tcBorders>
              <w:bottom w:val="nil"/>
            </w:tcBorders>
            <w:shd w:val="clear" w:color="auto" w:fill="FF0000"/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5D79E3" w:rsidRDefault="007265C2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FFFFFF"/>
                <w:sz w:val="20"/>
              </w:rPr>
              <w:t>01 a 0n</w:t>
            </w: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D79E3" w:rsidRDefault="007265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FFFFFF"/>
                <w:sz w:val="20"/>
              </w:rPr>
              <w:t>A-01 a 0n</w:t>
            </w:r>
          </w:p>
        </w:tc>
      </w:tr>
      <w:tr w:rsidR="005D79E3">
        <w:trPr>
          <w:trHeight w:val="649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before="1"/>
              <w:ind w:left="228" w:firstLine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 xml:space="preserve">Manual de </w:t>
            </w:r>
            <w:r>
              <w:rPr>
                <w:rFonts w:ascii="Calibri" w:hAnsi="Calibri"/>
                <w:color w:val="FFFFFF"/>
                <w:w w:val="95"/>
                <w:sz w:val="20"/>
              </w:rPr>
              <w:t>Organización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</w:t>
            </w: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99493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898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before="124"/>
              <w:ind w:left="120" w:firstLine="204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 xml:space="preserve">Manual de </w:t>
            </w:r>
            <w:r>
              <w:rPr>
                <w:rFonts w:ascii="Calibri"/>
                <w:color w:val="FFFFFF"/>
                <w:w w:val="95"/>
                <w:sz w:val="20"/>
              </w:rPr>
              <w:t>Procedimientos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before="122"/>
              <w:ind w:left="86" w:right="78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MP</w:t>
            </w: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99493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693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 w:val="restart"/>
            <w:shd w:val="clear" w:color="auto" w:fill="8DB3E1"/>
          </w:tcPr>
          <w:p w:rsidR="005D79E3" w:rsidRDefault="007265C2">
            <w:pPr>
              <w:pStyle w:val="TableParagraph"/>
              <w:ind w:left="101"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Administra ción de </w:t>
            </w:r>
            <w:r>
              <w:rPr>
                <w:spacing w:val="-6"/>
                <w:sz w:val="20"/>
              </w:rPr>
              <w:t xml:space="preserve">los </w:t>
            </w:r>
            <w:r>
              <w:rPr>
                <w:sz w:val="20"/>
              </w:rPr>
              <w:t>Recursos</w:t>
            </w: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D79E3" w:rsidRDefault="007265C2">
            <w:pPr>
              <w:pStyle w:val="TableParagraph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801" w:type="dxa"/>
            <w:vMerge w:val="restart"/>
            <w:shd w:val="clear" w:color="auto" w:fill="8DB3E1"/>
          </w:tcPr>
          <w:p w:rsidR="005D79E3" w:rsidRDefault="007265C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AD</w:t>
            </w: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7265C2">
            <w:pPr>
              <w:pStyle w:val="TableParagraph"/>
              <w:spacing w:before="160"/>
              <w:ind w:left="103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532" w:type="dxa"/>
            <w:shd w:val="clear" w:color="auto" w:fill="FF3399"/>
          </w:tcPr>
          <w:p w:rsidR="005D79E3" w:rsidRDefault="007265C2">
            <w:pPr>
              <w:pStyle w:val="TableParagraph"/>
              <w:spacing w:before="1"/>
              <w:ind w:left="264" w:hanging="104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 xml:space="preserve">Procedimiento </w:t>
            </w:r>
            <w:r>
              <w:rPr>
                <w:rFonts w:ascii="Calibri"/>
                <w:color w:val="FFFFFF"/>
                <w:sz w:val="20"/>
              </w:rPr>
              <w:t>Gobernador</w:t>
            </w:r>
          </w:p>
        </w:tc>
        <w:tc>
          <w:tcPr>
            <w:tcW w:w="705" w:type="dxa"/>
            <w:shd w:val="clear" w:color="auto" w:fill="FF3399"/>
          </w:tcPr>
          <w:p w:rsidR="005D79E3" w:rsidRDefault="007265C2">
            <w:pPr>
              <w:pStyle w:val="TableParagraph"/>
              <w:spacing w:line="268" w:lineRule="exact"/>
              <w:ind w:left="86" w:right="7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PG</w:t>
            </w: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99493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733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  <w:shd w:val="clear" w:color="auto" w:fill="FF3399"/>
          </w:tcPr>
          <w:p w:rsidR="005D79E3" w:rsidRDefault="005D79E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D79E3" w:rsidRDefault="007265C2">
            <w:pPr>
              <w:pStyle w:val="TableParagraph"/>
              <w:ind w:left="353" w:hanging="192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w w:val="95"/>
                <w:sz w:val="20"/>
              </w:rPr>
              <w:t xml:space="preserve">Procedimiento </w:t>
            </w:r>
            <w:r>
              <w:rPr>
                <w:rFonts w:ascii="Calibri"/>
                <w:color w:val="FFFFFF"/>
                <w:sz w:val="20"/>
              </w:rPr>
              <w:t>Operativo</w:t>
            </w:r>
          </w:p>
        </w:tc>
        <w:tc>
          <w:tcPr>
            <w:tcW w:w="705" w:type="dxa"/>
            <w:vMerge w:val="restart"/>
            <w:tcBorders>
              <w:right w:val="nil"/>
            </w:tcBorders>
            <w:shd w:val="clear" w:color="auto" w:fill="FF3399"/>
          </w:tcPr>
          <w:p w:rsidR="005D79E3" w:rsidRDefault="005D79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5D79E3" w:rsidRDefault="007265C2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PO</w:t>
            </w: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D99493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268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F3399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  <w:shd w:val="clear" w:color="auto" w:fill="FF3399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 w:val="restart"/>
            <w:tcBorders>
              <w:left w:val="nil"/>
            </w:tcBorders>
          </w:tcPr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rPr>
                <w:rFonts w:ascii="Times New Roman"/>
              </w:rPr>
            </w:pPr>
          </w:p>
          <w:p w:rsidR="005D79E3" w:rsidRDefault="005D79E3">
            <w:pPr>
              <w:pStyle w:val="TableParagraph"/>
              <w:spacing w:before="4"/>
              <w:rPr>
                <w:rFonts w:ascii="Times New Roman"/>
              </w:rPr>
            </w:pPr>
          </w:p>
          <w:p w:rsidR="005D79E3" w:rsidRDefault="007265C2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01 a 0n</w:t>
            </w:r>
          </w:p>
        </w:tc>
        <w:tc>
          <w:tcPr>
            <w:tcW w:w="1160" w:type="dxa"/>
            <w:vMerge w:val="restart"/>
            <w:tcBorders>
              <w:top w:val="nil"/>
            </w:tcBorders>
          </w:tcPr>
          <w:p w:rsidR="005D79E3" w:rsidRDefault="005D79E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D79E3" w:rsidRDefault="007265C2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</w:t>
            </w:r>
          </w:p>
        </w:tc>
      </w:tr>
      <w:tr w:rsidR="005D79E3">
        <w:trPr>
          <w:trHeight w:val="748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F3399"/>
          </w:tcPr>
          <w:p w:rsidR="005D79E3" w:rsidRDefault="007265C2">
            <w:pPr>
              <w:pStyle w:val="TableParagraph"/>
              <w:ind w:left="135" w:right="138" w:hanging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Formato s/procedimient</w:t>
            </w:r>
          </w:p>
          <w:p w:rsidR="005D79E3" w:rsidRDefault="007265C2">
            <w:pPr>
              <w:pStyle w:val="TableParagraph"/>
              <w:spacing w:line="242" w:lineRule="exact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w w:val="99"/>
                <w:sz w:val="20"/>
              </w:rPr>
              <w:t>o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line="265" w:lineRule="exact"/>
              <w:ind w:left="207" w:right="205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FO</w:t>
            </w:r>
          </w:p>
        </w:tc>
        <w:tc>
          <w:tcPr>
            <w:tcW w:w="1233" w:type="dxa"/>
            <w:vMerge/>
            <w:tcBorders>
              <w:top w:val="nil"/>
              <w:left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471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line="226" w:lineRule="exact"/>
              <w:ind w:left="223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Formato</w:t>
            </w:r>
          </w:p>
          <w:p w:rsidR="005D79E3" w:rsidRDefault="007265C2">
            <w:pPr>
              <w:pStyle w:val="TableParagraph"/>
              <w:spacing w:line="225" w:lineRule="exact"/>
              <w:ind w:left="224" w:right="22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Electrónico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FF3399"/>
          </w:tcPr>
          <w:p w:rsidR="005D79E3" w:rsidRDefault="007265C2">
            <w:pPr>
              <w:pStyle w:val="TableParagraph"/>
              <w:spacing w:line="248" w:lineRule="exact"/>
              <w:ind w:left="86" w:right="7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FE</w:t>
            </w:r>
          </w:p>
        </w:tc>
        <w:tc>
          <w:tcPr>
            <w:tcW w:w="1233" w:type="dxa"/>
            <w:vMerge/>
            <w:tcBorders>
              <w:top w:val="nil"/>
              <w:left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976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shd w:val="clear" w:color="auto" w:fill="FF3399"/>
          </w:tcPr>
          <w:p w:rsidR="005D79E3" w:rsidRDefault="007265C2">
            <w:pPr>
              <w:pStyle w:val="TableParagraph"/>
              <w:ind w:left="161" w:right="163" w:hanging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Instructivo de Trabajo Instructivos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0"/>
                <w:sz w:val="20"/>
              </w:rPr>
              <w:t>de</w:t>
            </w:r>
          </w:p>
          <w:p w:rsidR="005D79E3" w:rsidRDefault="007265C2">
            <w:pPr>
              <w:pStyle w:val="TableParagraph"/>
              <w:spacing w:line="225" w:lineRule="exact"/>
              <w:ind w:left="226" w:right="2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Laboratorios</w:t>
            </w:r>
          </w:p>
        </w:tc>
        <w:tc>
          <w:tcPr>
            <w:tcW w:w="705" w:type="dxa"/>
            <w:shd w:val="clear" w:color="auto" w:fill="FF3399"/>
          </w:tcPr>
          <w:p w:rsidR="005D79E3" w:rsidRDefault="007265C2">
            <w:pPr>
              <w:pStyle w:val="TableParagraph"/>
              <w:spacing w:line="265" w:lineRule="exact"/>
              <w:ind w:left="86" w:right="8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IT</w:t>
            </w:r>
          </w:p>
          <w:p w:rsidR="005D79E3" w:rsidRDefault="005D79E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D79E3" w:rsidRDefault="007265C2">
            <w:pPr>
              <w:pStyle w:val="TableParagraph"/>
              <w:spacing w:before="1"/>
              <w:ind w:left="86" w:right="75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DT</w:t>
            </w:r>
          </w:p>
        </w:tc>
        <w:tc>
          <w:tcPr>
            <w:tcW w:w="1233" w:type="dxa"/>
            <w:vMerge/>
            <w:tcBorders>
              <w:top w:val="nil"/>
              <w:left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5D79E3" w:rsidRDefault="005D79E3">
            <w:pPr>
              <w:rPr>
                <w:sz w:val="2"/>
                <w:szCs w:val="2"/>
              </w:rPr>
            </w:pPr>
          </w:p>
        </w:tc>
      </w:tr>
      <w:tr w:rsidR="005D79E3">
        <w:trPr>
          <w:trHeight w:val="537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shd w:val="clear" w:color="auto" w:fill="A6A6A6"/>
          </w:tcPr>
          <w:p w:rsidR="005D79E3" w:rsidRDefault="007265C2">
            <w:pPr>
              <w:pStyle w:val="TableParagraph"/>
              <w:ind w:left="98" w:right="4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Catálogos y manuales</w:t>
            </w:r>
          </w:p>
        </w:tc>
        <w:tc>
          <w:tcPr>
            <w:tcW w:w="3098" w:type="dxa"/>
            <w:gridSpan w:val="3"/>
            <w:shd w:val="clear" w:color="auto" w:fill="A6A6A6"/>
          </w:tcPr>
          <w:p w:rsidR="005D79E3" w:rsidRDefault="007265C2">
            <w:pPr>
              <w:pStyle w:val="TableParagraph"/>
              <w:spacing w:line="265" w:lineRule="exact"/>
              <w:ind w:left="813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</w:p>
          <w:p w:rsidR="005D79E3" w:rsidRDefault="007265C2">
            <w:pPr>
              <w:pStyle w:val="TableParagraph"/>
              <w:spacing w:line="252" w:lineRule="exact"/>
              <w:ind w:left="813"/>
              <w:rPr>
                <w:rFonts w:ascii="Calibri"/>
              </w:rPr>
            </w:pPr>
            <w:r>
              <w:rPr>
                <w:rFonts w:ascii="Calibri"/>
              </w:rPr>
              <w:t>Propio</w:t>
            </w:r>
          </w:p>
        </w:tc>
      </w:tr>
      <w:tr w:rsidR="005D79E3">
        <w:trPr>
          <w:trHeight w:val="537"/>
        </w:trPr>
        <w:tc>
          <w:tcPr>
            <w:tcW w:w="1352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FFFF00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8DB3E1"/>
          </w:tcPr>
          <w:p w:rsidR="005D79E3" w:rsidRDefault="005D79E3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shd w:val="clear" w:color="auto" w:fill="A6A6A6"/>
          </w:tcPr>
          <w:p w:rsidR="005D79E3" w:rsidRDefault="007265C2">
            <w:pPr>
              <w:pStyle w:val="TableParagraph"/>
              <w:ind w:left="98" w:right="3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Otros </w:t>
            </w:r>
            <w:r>
              <w:rPr>
                <w:rFonts w:ascii="Calibri"/>
                <w:w w:val="95"/>
                <w:sz w:val="20"/>
              </w:rPr>
              <w:t>documentos</w:t>
            </w:r>
          </w:p>
        </w:tc>
        <w:tc>
          <w:tcPr>
            <w:tcW w:w="3098" w:type="dxa"/>
            <w:gridSpan w:val="3"/>
            <w:shd w:val="clear" w:color="auto" w:fill="A6A6A6"/>
          </w:tcPr>
          <w:p w:rsidR="005D79E3" w:rsidRDefault="007265C2">
            <w:pPr>
              <w:pStyle w:val="TableParagraph"/>
              <w:spacing w:line="265" w:lineRule="exact"/>
              <w:ind w:left="813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</w:p>
          <w:p w:rsidR="005D79E3" w:rsidRDefault="007265C2">
            <w:pPr>
              <w:pStyle w:val="TableParagraph"/>
              <w:spacing w:line="252" w:lineRule="exact"/>
              <w:ind w:left="813"/>
              <w:rPr>
                <w:rFonts w:ascii="Calibri"/>
              </w:rPr>
            </w:pPr>
            <w:r>
              <w:rPr>
                <w:rFonts w:ascii="Calibri"/>
              </w:rPr>
              <w:t>Propio</w:t>
            </w:r>
          </w:p>
        </w:tc>
      </w:tr>
    </w:tbl>
    <w:p w:rsidR="005D79E3" w:rsidRDefault="007265C2">
      <w:pPr>
        <w:pStyle w:val="Textoindependiente"/>
        <w:spacing w:line="237" w:lineRule="auto"/>
        <w:ind w:left="722" w:right="1552"/>
      </w:pPr>
      <w:r>
        <w:t xml:space="preserve">* Instructivos sólo aplicables en los laboratorios de análisis de los Institutos Tecnológicos con perfil </w:t>
      </w:r>
      <w:r>
        <w:t>agropecuario, del mar y forestal.</w:t>
      </w:r>
    </w:p>
    <w:p w:rsidR="005D79E3" w:rsidRDefault="007265C2">
      <w:pPr>
        <w:pStyle w:val="Textoindependiente"/>
        <w:ind w:left="722"/>
      </w:pPr>
      <w:r>
        <w:t>**Aplica solo a los Institutos Tecnológicos Descentralizados.</w:t>
      </w:r>
    </w:p>
    <w:p w:rsidR="005D79E3" w:rsidRDefault="007265C2">
      <w:pPr>
        <w:pStyle w:val="Textoindependiente"/>
        <w:ind w:left="722"/>
      </w:pPr>
      <w:r>
        <w:t>***Anexos (Formato que no es requisitable) se asigna có</w:t>
      </w:r>
      <w:r>
        <w:t>digo “A” consecutivo 01 a 0n</w:t>
      </w:r>
    </w:p>
    <w:p w:rsidR="005D79E3" w:rsidRDefault="005D79E3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Procedimiento para el SGC</w:t>
            </w:r>
          </w:p>
        </w:tc>
      </w:tr>
      <w:tr w:rsidR="005D79E3">
        <w:trPr>
          <w:trHeight w:val="206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Procedimiento del SGC para el Control de Documentos </w:t>
            </w:r>
            <w:r>
              <w:rPr>
                <w:b/>
                <w:sz w:val="18"/>
              </w:rPr>
              <w:t>TecNM -CA-PG-001</w:t>
            </w:r>
          </w:p>
        </w:tc>
      </w:tr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Formato que pertenece a un Procedimiento</w:t>
            </w:r>
          </w:p>
        </w:tc>
      </w:tr>
      <w:tr w:rsidR="005D79E3">
        <w:trPr>
          <w:trHeight w:val="208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Formato para calificación de auditores </w:t>
            </w:r>
            <w:r>
              <w:rPr>
                <w:b/>
                <w:sz w:val="18"/>
              </w:rPr>
              <w:t>TecNM-CA-PG-003-01</w:t>
            </w:r>
          </w:p>
        </w:tc>
      </w:tr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Formato Electrónico (pantallas de captura del SGC)</w:t>
            </w:r>
          </w:p>
        </w:tc>
      </w:tr>
      <w:tr w:rsidR="005D79E3">
        <w:trPr>
          <w:trHeight w:val="206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Formato para Revisión de los Indicadores del Plan Rector </w:t>
            </w:r>
            <w:r>
              <w:rPr>
                <w:b/>
                <w:sz w:val="18"/>
              </w:rPr>
              <w:t>TecNM-CA-FE-01</w:t>
            </w:r>
          </w:p>
        </w:tc>
      </w:tr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Formato que NO PERTENECE a ningún PROCEDIMIENTO</w:t>
            </w:r>
          </w:p>
        </w:tc>
      </w:tr>
      <w:tr w:rsidR="005D79E3">
        <w:trPr>
          <w:trHeight w:val="205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Formato para el Control de Procesos Externos </w:t>
            </w:r>
            <w:r>
              <w:rPr>
                <w:b/>
                <w:sz w:val="18"/>
              </w:rPr>
              <w:t>TecNM-CA-FO-01</w:t>
            </w:r>
          </w:p>
        </w:tc>
      </w:tr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Instructivo de Trabajo</w:t>
            </w:r>
          </w:p>
        </w:tc>
      </w:tr>
      <w:tr w:rsidR="005D79E3">
        <w:trPr>
          <w:trHeight w:val="208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Instructivo de Trabajo del SGC para la Realización de Compras </w:t>
            </w:r>
            <w:r>
              <w:rPr>
                <w:b/>
                <w:sz w:val="18"/>
              </w:rPr>
              <w:t>TecNM–AD-IT-01</w:t>
            </w:r>
          </w:p>
        </w:tc>
      </w:tr>
      <w:tr w:rsidR="005D79E3">
        <w:trPr>
          <w:trHeight w:val="230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un Anexo</w:t>
            </w:r>
          </w:p>
        </w:tc>
      </w:tr>
      <w:tr w:rsidR="005D79E3">
        <w:trPr>
          <w:trHeight w:val="206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Criterio para calificación de auditores </w:t>
            </w:r>
            <w:r>
              <w:rPr>
                <w:b/>
                <w:sz w:val="18"/>
              </w:rPr>
              <w:t>TecNM-CA-PG-001-A01</w:t>
            </w:r>
          </w:p>
        </w:tc>
      </w:tr>
      <w:tr w:rsidR="005D79E3">
        <w:trPr>
          <w:trHeight w:val="438"/>
        </w:trPr>
        <w:tc>
          <w:tcPr>
            <w:tcW w:w="8898" w:type="dxa"/>
          </w:tcPr>
          <w:p w:rsidR="005D79E3" w:rsidRDefault="007265C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Ejemplo de Catálogos y manuales u otros documentos</w:t>
            </w:r>
          </w:p>
          <w:p w:rsidR="005D79E3" w:rsidRDefault="007265C2">
            <w:pPr>
              <w:pStyle w:val="TableParagraph"/>
              <w:spacing w:before="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Manual de organización del TecNM</w:t>
            </w:r>
          </w:p>
        </w:tc>
      </w:tr>
    </w:tbl>
    <w:p w:rsidR="005D79E3" w:rsidRDefault="005D79E3">
      <w:pPr>
        <w:spacing w:before="1"/>
        <w:rPr>
          <w:b/>
          <w:i/>
          <w:sz w:val="24"/>
        </w:rPr>
      </w:pPr>
    </w:p>
    <w:p w:rsidR="005D79E3" w:rsidRDefault="005D79E3">
      <w:pPr>
        <w:tabs>
          <w:tab w:val="left" w:pos="8720"/>
        </w:tabs>
        <w:ind w:left="722"/>
        <w:rPr>
          <w:b/>
          <w:sz w:val="16"/>
        </w:rPr>
      </w:pPr>
    </w:p>
    <w:sectPr w:rsidR="005D79E3">
      <w:headerReference w:type="default" r:id="rId6"/>
      <w:footerReference w:type="default" r:id="rId7"/>
      <w:type w:val="continuous"/>
      <w:pgSz w:w="11910" w:h="16840"/>
      <w:pgMar w:top="6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C2" w:rsidRDefault="007265C2" w:rsidP="00143B6F">
      <w:r>
        <w:separator/>
      </w:r>
    </w:p>
  </w:endnote>
  <w:endnote w:type="continuationSeparator" w:id="0">
    <w:p w:rsidR="007265C2" w:rsidRDefault="007265C2" w:rsidP="001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6F" w:rsidRPr="00143B6F" w:rsidRDefault="00143B6F" w:rsidP="00143B6F">
    <w:pPr>
      <w:pStyle w:val="Piedepgina"/>
    </w:pPr>
    <w:r>
      <w:rPr>
        <w:b/>
        <w:sz w:val="16"/>
      </w:rPr>
      <w:t xml:space="preserve">                                     </w:t>
    </w:r>
    <w:r>
      <w:rPr>
        <w:b/>
        <w:sz w:val="16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C2" w:rsidRDefault="007265C2" w:rsidP="00143B6F">
      <w:r>
        <w:separator/>
      </w:r>
    </w:p>
  </w:footnote>
  <w:footnote w:type="continuationSeparator" w:id="0">
    <w:p w:rsidR="007265C2" w:rsidRDefault="007265C2" w:rsidP="0014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6F" w:rsidRPr="00A754E5" w:rsidRDefault="00143B6F" w:rsidP="00143B6F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6432" behindDoc="0" locked="0" layoutInCell="1" allowOverlap="1" wp14:anchorId="4A429CDD" wp14:editId="7888B5BB">
          <wp:simplePos x="0" y="0"/>
          <wp:positionH relativeFrom="column">
            <wp:posOffset>-15240</wp:posOffset>
          </wp:positionH>
          <wp:positionV relativeFrom="paragraph">
            <wp:posOffset>-55880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</w:t>
    </w:r>
    <w:r>
      <w:t xml:space="preserve">  </w:t>
    </w:r>
    <w:r>
      <w:rPr>
        <w:rFonts w:ascii="Calibri" w:hAnsi="Calibri"/>
        <w:sz w:val="18"/>
        <w:szCs w:val="18"/>
      </w:rPr>
      <w:t xml:space="preserve">Código: </w:t>
    </w:r>
    <w:r>
      <w:rPr>
        <w:rFonts w:ascii="Calibri" w:hAnsi="Calibri"/>
        <w:sz w:val="18"/>
        <w:szCs w:val="18"/>
      </w:rPr>
      <w:t>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-A02</w:t>
    </w:r>
  </w:p>
  <w:p w:rsidR="00143B6F" w:rsidRPr="00A754E5" w:rsidRDefault="00143B6F" w:rsidP="00143B6F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</w:t>
    </w:r>
    <w:r>
      <w:rPr>
        <w:rFonts w:ascii="Calibri" w:hAnsi="Calibri"/>
        <w:b/>
        <w:sz w:val="18"/>
        <w:szCs w:val="16"/>
      </w:rPr>
      <w:t xml:space="preserve"> </w:t>
    </w:r>
    <w:r>
      <w:rPr>
        <w:rFonts w:ascii="Calibri" w:hAnsi="Calibri"/>
        <w:b/>
        <w:sz w:val="18"/>
        <w:szCs w:val="16"/>
      </w:rPr>
      <w:t xml:space="preserve">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</w:t>
    </w:r>
    <w:r>
      <w:rPr>
        <w:rFonts w:ascii="Calibri" w:hAnsi="Calibri"/>
        <w:b/>
        <w:sz w:val="18"/>
        <w:szCs w:val="16"/>
      </w:rPr>
      <w:t xml:space="preserve">                             </w:t>
    </w:r>
    <w:r>
      <w:rPr>
        <w:rFonts w:ascii="Calibri" w:hAnsi="Calibri"/>
        <w:b/>
        <w:sz w:val="18"/>
        <w:szCs w:val="16"/>
      </w:rPr>
      <w:t xml:space="preserve">  </w:t>
    </w:r>
    <w:r w:rsidRPr="0027019C">
      <w:rPr>
        <w:rFonts w:ascii="Calibri" w:hAnsi="Calibri"/>
        <w:vertAlign w:val="subscript"/>
      </w:rPr>
      <w:t>Revisión: O</w:t>
    </w:r>
  </w:p>
  <w:p w:rsidR="00143B6F" w:rsidRDefault="00143B6F" w:rsidP="00143B6F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7.5.2, 7.5.3 ISO 14001</w:t>
    </w:r>
    <w:r>
      <w:rPr>
        <w:rFonts w:ascii="Calibri" w:hAnsi="Calibri"/>
        <w:b/>
        <w:sz w:val="18"/>
        <w:szCs w:val="16"/>
      </w:rPr>
      <w:t xml:space="preserve">:2015 </w:t>
    </w:r>
    <w:r>
      <w:rPr>
        <w:rFonts w:ascii="Calibri" w:hAnsi="Calibri"/>
        <w:b/>
        <w:sz w:val="18"/>
        <w:szCs w:val="18"/>
      </w:rPr>
      <w:t>7.5.2, 7.5.3</w:t>
    </w:r>
  </w:p>
  <w:p w:rsidR="00143B6F" w:rsidRDefault="00143B6F" w:rsidP="00143B6F">
    <w:pPr>
      <w:pStyle w:val="Encabezado"/>
    </w:pPr>
    <w:r>
      <w:rPr>
        <w:rFonts w:ascii="Calibri" w:hAnsi="Calibri"/>
        <w:b/>
        <w:sz w:val="18"/>
        <w:szCs w:val="18"/>
      </w:rPr>
      <w:t xml:space="preserve">          </w:t>
    </w:r>
    <w:r w:rsidR="00D14794">
      <w:rPr>
        <w:rFonts w:ascii="Calibri" w:hAnsi="Calibri"/>
        <w:b/>
        <w:sz w:val="18"/>
        <w:szCs w:val="18"/>
      </w:rPr>
      <w:t xml:space="preserve">                           </w:t>
    </w:r>
    <w:r>
      <w:rPr>
        <w:rFonts w:ascii="Calibri" w:hAnsi="Calibri"/>
        <w:b/>
        <w:sz w:val="18"/>
        <w:szCs w:val="18"/>
      </w:rPr>
      <w:t xml:space="preserve">   </w:t>
    </w:r>
    <w:r w:rsidR="00D14794">
      <w:rPr>
        <w:rFonts w:ascii="Calibri" w:hAnsi="Calibri"/>
        <w:b/>
        <w:sz w:val="18"/>
        <w:szCs w:val="18"/>
      </w:rPr>
      <w:t>TABLA DE ASIGNACION DE CODIGOS PARA DOCUMENTOS DE SGC</w:t>
    </w:r>
    <w:r>
      <w:rPr>
        <w:rFonts w:ascii="Calibri" w:hAnsi="Calibri"/>
        <w:b/>
        <w:sz w:val="18"/>
        <w:szCs w:val="18"/>
      </w:rPr>
      <w:t xml:space="preserve">       </w:t>
    </w:r>
    <w:r w:rsidR="00D14794">
      <w:rPr>
        <w:rFonts w:ascii="Calibri" w:hAnsi="Calibri"/>
        <w:b/>
        <w:sz w:val="18"/>
        <w:szCs w:val="18"/>
      </w:rPr>
      <w:t xml:space="preserve">            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 w:rsidR="00D14794"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9E3"/>
    <w:rsid w:val="00143B6F"/>
    <w:rsid w:val="005D79E3"/>
    <w:rsid w:val="007265C2"/>
    <w:rsid w:val="00D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B2E8"/>
  <w15:docId w15:val="{752C9CD1-D289-407A-BADE-EDF938D6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3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B6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43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B6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Computo21</cp:lastModifiedBy>
  <cp:revision>3</cp:revision>
  <dcterms:created xsi:type="dcterms:W3CDTF">2018-10-25T19:29:00Z</dcterms:created>
  <dcterms:modified xsi:type="dcterms:W3CDTF">2018-10-25T20:11:00Z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